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8341">
      <w:pPr>
        <w:spacing w:line="24" w:lineRule="atLeast"/>
        <w:rPr>
          <w:rFonts w:ascii="Times New Roman" w:hAnsi="Times New Roman" w:eastAsia="等线" w:cs="Times New Roman"/>
          <w:b/>
          <w:bCs/>
          <w:i/>
          <w:iCs/>
          <w:szCs w:val="21"/>
          <w:lang w:bidi="ar"/>
        </w:rPr>
      </w:pPr>
      <w:r>
        <w:rPr>
          <w:rFonts w:ascii="Times New Roman" w:hAnsi="Times New Roman" w:cs="Times New Roman"/>
          <w:b/>
          <w:bCs/>
          <w:i/>
          <w:iCs/>
          <w:szCs w:val="21"/>
        </w:rPr>
        <w:t>Supplementary Table 1.</w:t>
      </w:r>
      <w:r>
        <w:rPr>
          <w:rFonts w:hint="eastAsia" w:ascii="Times New Roman" w:hAnsi="Times New Roman" w:cs="Times New Roman"/>
          <w:b/>
          <w:bCs/>
          <w:i/>
          <w:iCs/>
          <w:szCs w:val="21"/>
        </w:rPr>
        <w:t xml:space="preserve"> </w:t>
      </w:r>
      <w:r>
        <w:rPr>
          <w:rFonts w:ascii="Times New Roman" w:hAnsi="Times New Roman" w:eastAsia="等线" w:cs="Times New Roman"/>
          <w:b/>
          <w:bCs/>
          <w:i/>
          <w:iCs/>
          <w:szCs w:val="21"/>
          <w:lang w:bidi="ar"/>
        </w:rPr>
        <w:t>Sequences of siRNA oligonucleotides targeting human ACTR2 and ACTR3.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3"/>
        <w:gridCol w:w="3218"/>
        <w:gridCol w:w="3195"/>
      </w:tblGrid>
      <w:tr w14:paraId="4DF77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3B1CE220">
            <w:pPr>
              <w:spacing w:line="24" w:lineRule="atLeas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siRNA Name</w:t>
            </w:r>
          </w:p>
        </w:tc>
        <w:tc>
          <w:tcPr>
            <w:tcW w:w="3080" w:type="dxa"/>
          </w:tcPr>
          <w:p w14:paraId="0117D610">
            <w:pPr>
              <w:spacing w:line="24" w:lineRule="atLeas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Sense strand (5′→3′)</w:t>
            </w:r>
          </w:p>
        </w:tc>
        <w:tc>
          <w:tcPr>
            <w:tcW w:w="3047" w:type="dxa"/>
          </w:tcPr>
          <w:p w14:paraId="6357BC9E">
            <w:pPr>
              <w:spacing w:line="24" w:lineRule="atLeas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Antisense strand (5′→3′)</w:t>
            </w:r>
          </w:p>
        </w:tc>
      </w:tr>
      <w:tr w14:paraId="31C89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2AAB594B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</w:t>
            </w:r>
            <w:r>
              <w:rPr>
                <w:rFonts w:hint="eastAsia" w:ascii="Times New Roman" w:hAnsi="Times New Roman" w:cs="Times New Roman"/>
                <w:szCs w:val="21"/>
              </w:rPr>
              <w:t>CTR</w:t>
            </w:r>
            <w:r>
              <w:rPr>
                <w:rFonts w:ascii="Times New Roman" w:hAnsi="Times New Roman" w:cs="Times New Roman"/>
                <w:szCs w:val="21"/>
              </w:rPr>
              <w:t>2-Homo-375</w:t>
            </w:r>
          </w:p>
        </w:tc>
        <w:tc>
          <w:tcPr>
            <w:tcW w:w="3080" w:type="dxa"/>
          </w:tcPr>
          <w:p w14:paraId="0CED0058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GACCAGAGAAACUUAAUAUTT</w:t>
            </w:r>
          </w:p>
        </w:tc>
        <w:tc>
          <w:tcPr>
            <w:tcW w:w="3047" w:type="dxa"/>
          </w:tcPr>
          <w:p w14:paraId="36B4A13A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AUAUUAAGUUUCUCUGGUCTT</w:t>
            </w:r>
          </w:p>
        </w:tc>
      </w:tr>
      <w:tr w14:paraId="641E3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52CE0534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</w:t>
            </w:r>
            <w:r>
              <w:rPr>
                <w:rFonts w:hint="eastAsia" w:ascii="Times New Roman" w:hAnsi="Times New Roman" w:cs="Times New Roman"/>
                <w:szCs w:val="21"/>
              </w:rPr>
              <w:t>CTR</w:t>
            </w:r>
            <w:r>
              <w:rPr>
                <w:rFonts w:ascii="Times New Roman" w:hAnsi="Times New Roman" w:cs="Times New Roman"/>
                <w:szCs w:val="21"/>
              </w:rPr>
              <w:t>2-Homo-652</w:t>
            </w:r>
          </w:p>
        </w:tc>
        <w:tc>
          <w:tcPr>
            <w:tcW w:w="3080" w:type="dxa"/>
          </w:tcPr>
          <w:p w14:paraId="791415BD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GAGGGAUAUAACUAGAUAUTT</w:t>
            </w:r>
          </w:p>
        </w:tc>
        <w:tc>
          <w:tcPr>
            <w:tcW w:w="3047" w:type="dxa"/>
          </w:tcPr>
          <w:p w14:paraId="6419780C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AUAUCUAGUUAUAUCCCUCTT</w:t>
            </w:r>
          </w:p>
        </w:tc>
      </w:tr>
      <w:tr w14:paraId="79607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08F6889A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</w:t>
            </w:r>
            <w:r>
              <w:rPr>
                <w:rFonts w:hint="eastAsia" w:ascii="Times New Roman" w:hAnsi="Times New Roman" w:cs="Times New Roman"/>
                <w:szCs w:val="21"/>
              </w:rPr>
              <w:t>CTR</w:t>
            </w:r>
            <w:r>
              <w:rPr>
                <w:rFonts w:ascii="Times New Roman" w:hAnsi="Times New Roman" w:cs="Times New Roman"/>
                <w:szCs w:val="21"/>
              </w:rPr>
              <w:t>2-Homo-1167</w:t>
            </w:r>
          </w:p>
        </w:tc>
        <w:tc>
          <w:tcPr>
            <w:tcW w:w="3080" w:type="dxa"/>
          </w:tcPr>
          <w:p w14:paraId="25658C10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GUGCAGUUCUAGCGGAUAUTT</w:t>
            </w:r>
          </w:p>
        </w:tc>
        <w:tc>
          <w:tcPr>
            <w:tcW w:w="3047" w:type="dxa"/>
          </w:tcPr>
          <w:p w14:paraId="4A9D1B57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AUAUCCGCUAGAACUGCACTT</w:t>
            </w:r>
          </w:p>
        </w:tc>
      </w:tr>
      <w:tr w14:paraId="26260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2054BE0F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</w:t>
            </w:r>
            <w:r>
              <w:rPr>
                <w:rFonts w:hint="eastAsia" w:ascii="Times New Roman" w:hAnsi="Times New Roman" w:cs="Times New Roman"/>
                <w:szCs w:val="21"/>
              </w:rPr>
              <w:t>CTR3</w:t>
            </w:r>
            <w:r>
              <w:rPr>
                <w:rFonts w:ascii="Times New Roman" w:hAnsi="Times New Roman" w:cs="Times New Roman"/>
                <w:szCs w:val="21"/>
              </w:rPr>
              <w:t>-Homo-286</w:t>
            </w:r>
          </w:p>
        </w:tc>
        <w:tc>
          <w:tcPr>
            <w:tcW w:w="3080" w:type="dxa"/>
          </w:tcPr>
          <w:p w14:paraId="62045F1F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CUUCCUGUAUUGCUAUUAATT</w:t>
            </w:r>
          </w:p>
        </w:tc>
        <w:tc>
          <w:tcPr>
            <w:tcW w:w="3047" w:type="dxa"/>
          </w:tcPr>
          <w:p w14:paraId="516E7E4E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UUAAUAGCAAUACAGGAAGTT</w:t>
            </w:r>
          </w:p>
        </w:tc>
      </w:tr>
      <w:tr w14:paraId="474B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20DAFB0F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</w:t>
            </w:r>
            <w:r>
              <w:rPr>
                <w:rFonts w:hint="eastAsia" w:ascii="Times New Roman" w:hAnsi="Times New Roman" w:cs="Times New Roman"/>
                <w:szCs w:val="21"/>
              </w:rPr>
              <w:t>CTR3</w:t>
            </w:r>
            <w:r>
              <w:rPr>
                <w:rFonts w:ascii="Times New Roman" w:hAnsi="Times New Roman" w:cs="Times New Roman"/>
                <w:szCs w:val="21"/>
              </w:rPr>
              <w:t>-Homo-341</w:t>
            </w:r>
          </w:p>
        </w:tc>
        <w:tc>
          <w:tcPr>
            <w:tcW w:w="3080" w:type="dxa"/>
          </w:tcPr>
          <w:p w14:paraId="4C535B08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GGUGAUGAAAGGUGUUGAUTT</w:t>
            </w:r>
          </w:p>
        </w:tc>
        <w:tc>
          <w:tcPr>
            <w:tcW w:w="3047" w:type="dxa"/>
          </w:tcPr>
          <w:p w14:paraId="02D01114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AUCAACACCUUUCAUCACCTT</w:t>
            </w:r>
          </w:p>
        </w:tc>
      </w:tr>
    </w:tbl>
    <w:p w14:paraId="2C3356C8">
      <w:pPr>
        <w:spacing w:line="24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BF5A6">
      <w:pPr>
        <w:spacing w:line="24" w:lineRule="atLeast"/>
        <w:rPr>
          <w:rFonts w:ascii="Times New Roman" w:hAnsi="Times New Roman" w:cs="Times New Roman"/>
          <w:b/>
          <w:bCs/>
          <w:i/>
          <w:iCs/>
          <w:szCs w:val="21"/>
        </w:rPr>
      </w:pPr>
      <w:r>
        <w:rPr>
          <w:rFonts w:ascii="Times New Roman" w:hAnsi="Times New Roman" w:cs="Times New Roman"/>
          <w:b/>
          <w:bCs/>
          <w:i/>
          <w:iCs/>
          <w:szCs w:val="21"/>
        </w:rPr>
        <w:t xml:space="preserve">Supplementary Table 2. </w:t>
      </w:r>
      <w:r>
        <w:rPr>
          <w:rFonts w:ascii="Times New Roman" w:hAnsi="Times New Roman" w:eastAsia="等线" w:cs="Times New Roman"/>
          <w:b/>
          <w:bCs/>
          <w:i/>
          <w:iCs/>
          <w:szCs w:val="21"/>
          <w:lang w:bidi="ar"/>
        </w:rPr>
        <w:t>Target sequences and genomic loci of sgRNAs designed for CRISPR-Cas9-mediated KO of human ACTR2 and ACTR3.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2251"/>
        <w:gridCol w:w="3857"/>
      </w:tblGrid>
      <w:tr w14:paraId="3AEA6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</w:tcPr>
          <w:p w14:paraId="1E209B1F">
            <w:pPr>
              <w:spacing w:line="24" w:lineRule="atLeas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Target Gene</w:t>
            </w:r>
          </w:p>
        </w:tc>
        <w:tc>
          <w:tcPr>
            <w:tcW w:w="2251" w:type="dxa"/>
          </w:tcPr>
          <w:p w14:paraId="1C6FF1AD">
            <w:pPr>
              <w:spacing w:line="24" w:lineRule="atLeas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Primer Pair Name</w:t>
            </w:r>
          </w:p>
        </w:tc>
        <w:tc>
          <w:tcPr>
            <w:tcW w:w="3857" w:type="dxa"/>
          </w:tcPr>
          <w:p w14:paraId="4CE165F8">
            <w:pPr>
              <w:spacing w:line="24" w:lineRule="atLeas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Primer Sequence (5′→3′)</w:t>
            </w:r>
          </w:p>
        </w:tc>
      </w:tr>
      <w:tr w14:paraId="51C59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vMerge w:val="restart"/>
          </w:tcPr>
          <w:p w14:paraId="77F3CF38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</w:p>
          <w:p w14:paraId="20048987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</w:p>
          <w:p w14:paraId="46899FF0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</w:p>
          <w:p w14:paraId="0C61C7F6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</w:t>
            </w:r>
            <w:r>
              <w:rPr>
                <w:rFonts w:hint="eastAsia" w:ascii="Times New Roman" w:hAnsi="Times New Roman" w:cs="Times New Roman"/>
                <w:szCs w:val="21"/>
              </w:rPr>
              <w:t>CTR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251" w:type="dxa"/>
          </w:tcPr>
          <w:p w14:paraId="4AD4D49A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</w:p>
          <w:p w14:paraId="37D79710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hA</w:t>
            </w:r>
            <w:r>
              <w:rPr>
                <w:rFonts w:hint="eastAsia" w:ascii="Times New Roman" w:hAnsi="Times New Roman" w:cs="Times New Roman"/>
                <w:szCs w:val="21"/>
              </w:rPr>
              <w:t>CTR</w:t>
            </w:r>
            <w:r>
              <w:rPr>
                <w:rFonts w:ascii="Times New Roman" w:hAnsi="Times New Roman" w:cs="Times New Roman"/>
                <w:szCs w:val="21"/>
              </w:rPr>
              <w:t>2.KO1</w:t>
            </w:r>
          </w:p>
        </w:tc>
        <w:tc>
          <w:tcPr>
            <w:tcW w:w="3857" w:type="dxa"/>
          </w:tcPr>
          <w:p w14:paraId="6EDAEECD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Forward:</w:t>
            </w:r>
          </w:p>
          <w:p w14:paraId="27726D9E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CACCGGATTTCAATGTTTCCCACTT </w:t>
            </w:r>
          </w:p>
          <w:p w14:paraId="1F891D92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Reverse: </w:t>
            </w:r>
          </w:p>
          <w:p w14:paraId="283C95AD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AAACAAGTGGGAAACATTGAAATCC</w:t>
            </w:r>
          </w:p>
        </w:tc>
      </w:tr>
      <w:tr w14:paraId="28E00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vMerge w:val="continue"/>
          </w:tcPr>
          <w:p w14:paraId="178E3D0D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51" w:type="dxa"/>
          </w:tcPr>
          <w:p w14:paraId="1F8C05AB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</w:p>
          <w:p w14:paraId="75E94059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hA</w:t>
            </w:r>
            <w:r>
              <w:rPr>
                <w:rFonts w:hint="eastAsia" w:ascii="Times New Roman" w:hAnsi="Times New Roman" w:cs="Times New Roman"/>
                <w:szCs w:val="21"/>
              </w:rPr>
              <w:t>CTR</w:t>
            </w:r>
            <w:r>
              <w:rPr>
                <w:rFonts w:ascii="Times New Roman" w:hAnsi="Times New Roman" w:cs="Times New Roman"/>
                <w:szCs w:val="21"/>
              </w:rPr>
              <w:t>2.KO2</w:t>
            </w:r>
          </w:p>
        </w:tc>
        <w:tc>
          <w:tcPr>
            <w:tcW w:w="3857" w:type="dxa"/>
          </w:tcPr>
          <w:p w14:paraId="30544337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Forward:</w:t>
            </w:r>
          </w:p>
          <w:p w14:paraId="0F80A304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CACCGGTTAGAAGTTAACTACCCTA</w:t>
            </w:r>
          </w:p>
          <w:p w14:paraId="72891CDC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Reverse:</w:t>
            </w:r>
          </w:p>
          <w:p w14:paraId="61006C75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AAACTAGGGTAGTTAACTTCTAACC</w:t>
            </w:r>
          </w:p>
        </w:tc>
      </w:tr>
      <w:tr w14:paraId="596F8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vMerge w:val="restart"/>
          </w:tcPr>
          <w:p w14:paraId="359DE68D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</w:p>
          <w:p w14:paraId="52AD7BFE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</w:p>
          <w:p w14:paraId="0F2F7164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</w:p>
          <w:p w14:paraId="554E8C06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</w:t>
            </w:r>
            <w:r>
              <w:rPr>
                <w:rFonts w:hint="eastAsia" w:ascii="Times New Roman" w:hAnsi="Times New Roman" w:cs="Times New Roman"/>
                <w:szCs w:val="21"/>
              </w:rPr>
              <w:t>CTR3</w:t>
            </w:r>
          </w:p>
        </w:tc>
        <w:tc>
          <w:tcPr>
            <w:tcW w:w="2251" w:type="dxa"/>
          </w:tcPr>
          <w:p w14:paraId="11B542AF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</w:p>
          <w:p w14:paraId="28A0654B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hA</w:t>
            </w:r>
            <w:r>
              <w:rPr>
                <w:rFonts w:hint="eastAsia" w:ascii="Times New Roman" w:hAnsi="Times New Roman" w:cs="Times New Roman"/>
                <w:szCs w:val="21"/>
              </w:rPr>
              <w:t>CTR3</w:t>
            </w:r>
            <w:r>
              <w:rPr>
                <w:rFonts w:ascii="Times New Roman" w:hAnsi="Times New Roman" w:cs="Times New Roman"/>
                <w:szCs w:val="21"/>
              </w:rPr>
              <w:t>.KO1</w:t>
            </w:r>
          </w:p>
        </w:tc>
        <w:tc>
          <w:tcPr>
            <w:tcW w:w="3857" w:type="dxa"/>
          </w:tcPr>
          <w:p w14:paraId="10A28B5F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Forward:</w:t>
            </w:r>
          </w:p>
          <w:p w14:paraId="411E5184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CACCGGCTCAAAGGAGGGTGATGAA</w:t>
            </w:r>
          </w:p>
          <w:p w14:paraId="3BC12729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Reverse:</w:t>
            </w:r>
          </w:p>
          <w:p w14:paraId="671B353A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AAACTTCATCACCCTCCTTTGAGCC</w:t>
            </w:r>
          </w:p>
        </w:tc>
      </w:tr>
      <w:tr w14:paraId="30D16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vMerge w:val="continue"/>
          </w:tcPr>
          <w:p w14:paraId="1362E041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51" w:type="dxa"/>
          </w:tcPr>
          <w:p w14:paraId="4E23960C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</w:p>
          <w:p w14:paraId="02FF28D9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hA</w:t>
            </w:r>
            <w:r>
              <w:rPr>
                <w:rFonts w:hint="eastAsia" w:ascii="Times New Roman" w:hAnsi="Times New Roman" w:cs="Times New Roman"/>
                <w:szCs w:val="21"/>
              </w:rPr>
              <w:t>CTR3</w:t>
            </w:r>
            <w:r>
              <w:rPr>
                <w:rFonts w:ascii="Times New Roman" w:hAnsi="Times New Roman" w:cs="Times New Roman"/>
                <w:szCs w:val="21"/>
              </w:rPr>
              <w:t>.KO2</w:t>
            </w:r>
          </w:p>
        </w:tc>
        <w:tc>
          <w:tcPr>
            <w:tcW w:w="3857" w:type="dxa"/>
          </w:tcPr>
          <w:p w14:paraId="723172B2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Forward:</w:t>
            </w:r>
          </w:p>
          <w:p w14:paraId="11DE6D9B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CACCGGCCATGGTATAGTTGAAGAT</w:t>
            </w:r>
          </w:p>
          <w:p w14:paraId="086C3C6F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Reverse:</w:t>
            </w:r>
          </w:p>
          <w:p w14:paraId="30FECA31">
            <w:pPr>
              <w:spacing w:line="24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AAACATCTTCAACTATACCATGGCC</w:t>
            </w:r>
          </w:p>
        </w:tc>
      </w:tr>
    </w:tbl>
    <w:p w14:paraId="07C59533">
      <w:pPr>
        <w:spacing w:line="24" w:lineRule="atLeast"/>
        <w:rPr>
          <w:rFonts w:ascii="Times New Roman" w:hAnsi="Times New Roman" w:cs="Times New Roman"/>
          <w:szCs w:val="21"/>
        </w:rPr>
      </w:pPr>
    </w:p>
    <w:p w14:paraId="701D4046">
      <w:pPr>
        <w:spacing w:line="24" w:lineRule="atLeast"/>
      </w:pPr>
      <w:r>
        <w:t xml:space="preserve"> </w:t>
      </w:r>
    </w:p>
    <w:p w14:paraId="43179C7F">
      <w:pPr>
        <w:spacing w:line="24" w:lineRule="atLeast"/>
      </w:pPr>
    </w:p>
    <w:p w14:paraId="09054D79">
      <w:pPr>
        <w:spacing w:line="24" w:lineRule="atLeast"/>
        <w:rPr>
          <w:rFonts w:hint="eastAsia"/>
        </w:rPr>
      </w:pPr>
      <w:r>
        <w:drawing>
          <wp:inline distT="0" distB="0" distL="0" distR="0">
            <wp:extent cx="5267325" cy="32670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BEF22">
      <w:pPr>
        <w:spacing w:line="24" w:lineRule="atLeast"/>
        <w:rPr>
          <w:rFonts w:ascii="Times New Roman" w:hAnsi="Times New Roman" w:eastAsia="等线" w:cs="Times New Roman"/>
          <w:b/>
          <w:bCs/>
          <w:i/>
          <w:iCs/>
          <w:szCs w:val="21"/>
          <w:lang w:bidi="ar"/>
        </w:rPr>
      </w:pPr>
      <w:r>
        <w:rPr>
          <w:rFonts w:ascii="Times New Roman" w:hAnsi="Times New Roman" w:cs="Times New Roman"/>
          <w:b/>
          <w:bCs/>
          <w:i/>
          <w:iCs/>
          <w:szCs w:val="21"/>
        </w:rPr>
        <w:t xml:space="preserve">Supplementary Fig. 1. </w:t>
      </w:r>
      <w:r>
        <w:rPr>
          <w:rFonts w:ascii="Times New Roman" w:hAnsi="Times New Roman" w:eastAsia="等线" w:cs="Times New Roman"/>
          <w:b/>
          <w:bCs/>
          <w:i/>
          <w:iCs/>
          <w:szCs w:val="21"/>
          <w:lang w:bidi="ar"/>
        </w:rPr>
        <w:t>mRNA expression levels of ACTR2, ACTR3, and PARP1 in stomach adenocarcinoma (STAD) compared with normal gastric tissues</w:t>
      </w:r>
      <w:r>
        <w:rPr>
          <w:rFonts w:hint="eastAsia" w:ascii="Times New Roman" w:hAnsi="Times New Roman" w:eastAsia="等线" w:cs="Times New Roman"/>
          <w:b/>
          <w:bCs/>
          <w:i/>
          <w:iCs/>
          <w:szCs w:val="21"/>
          <w:lang w:bidi="ar"/>
        </w:rPr>
        <w:t>.</w:t>
      </w:r>
    </w:p>
    <w:p w14:paraId="7FF13B63">
      <w:pPr>
        <w:spacing w:line="24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figure displays box-and-scatter plots of log₂(TPM+1)-normalized mRNA expression for ACTR2, ACTR3, and PARP1 (left to right) in stomach adenocarcinoma (STAD) tumor tissues (red, n = 408) and adjacent normal gastric tissues (gray, n = 211). Data were compiled from The Cancer Genome Atlas (TCGA) and Genotype-Tissue Expression (GTEx) databases via the GEPIA analytical platform. Each boxplot depicts the median (central line), interquartile range (IQR; box), and 1.5×IQR (whiskers). Red asterisks denote statistically significant differences between tumor and normal cohorts (Wilcoxon rank-sum test, *</w:t>
      </w:r>
      <w:r>
        <w:rPr>
          <w:rFonts w:ascii="Times New Roman" w:hAnsi="Times New Roman" w:cs="Times New Roman"/>
          <w:i/>
          <w:iCs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&lt; 0.05). All three genes show significantly higher mRNA expression in STAD tumors compared to matched normal gastric tissues.</w:t>
      </w:r>
    </w:p>
    <w:p w14:paraId="06EC9E16">
      <w:pPr>
        <w:spacing w:line="24" w:lineRule="atLeast"/>
        <w:rPr>
          <w:rFonts w:ascii="Times New Roman" w:hAnsi="Times New Roman" w:cs="Times New Roman"/>
          <w:szCs w:val="21"/>
        </w:rPr>
      </w:pPr>
    </w:p>
    <w:p w14:paraId="2AFD298F">
      <w:pPr>
        <w:spacing w:line="24" w:lineRule="atLeast"/>
        <w:rPr>
          <w:rFonts w:ascii="Times New Roman" w:hAnsi="Times New Roman" w:cs="Times New Roman"/>
          <w:szCs w:val="21"/>
        </w:rPr>
      </w:pPr>
    </w:p>
    <w:p w14:paraId="694F88A1">
      <w:pPr>
        <w:spacing w:line="24" w:lineRule="atLeast"/>
        <w:rPr>
          <w:rFonts w:hint="eastAsia"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5267325" cy="48768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F59DB">
      <w:pPr>
        <w:spacing w:line="24" w:lineRule="atLeast"/>
        <w:rPr>
          <w:rFonts w:ascii="Times New Roman" w:hAnsi="Times New Roman" w:cs="Times New Roman"/>
          <w:i/>
          <w:iCs/>
          <w:szCs w:val="21"/>
        </w:rPr>
      </w:pPr>
      <w:r>
        <w:rPr>
          <w:rFonts w:ascii="Times New Roman" w:hAnsi="Times New Roman" w:cs="Times New Roman"/>
          <w:b/>
          <w:bCs/>
          <w:i/>
          <w:iCs/>
          <w:szCs w:val="21"/>
        </w:rPr>
        <w:t>Supplementary Fig. 2. RNA and protein expression of Arp2, Arp3, and PARP1 in gastric cancer cell lines.</w:t>
      </w:r>
    </w:p>
    <w:p w14:paraId="587232E1">
      <w:pPr>
        <w:spacing w:line="24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This figure presents normalized transcripts per million (nTPM)-quantified RNA expression and protein expression status of Arp2, Arp3, and PARP1 across 42 gastric cancer cell lines (including the HGC-27 and AGS lines), using data curated from the Human Protein Atlas (HPA) database. Three subpanels (one per target molecule) display expression profiles for Arp2, Arp3, and PARP1, respectively: blue bars denote RNA expression levels in each cell line; blue dots beneath each bar indicate protein expression status (present if a dot is visible, undetectable if absent); and key cell lines (e.g., HGC-27, AGS) are demarcated with boxes for rapid localization.</w:t>
      </w:r>
    </w:p>
    <w:p w14:paraId="6902B388">
      <w:pPr>
        <w:spacing w:line="24" w:lineRule="atLeast"/>
        <w:rPr>
          <w:rFonts w:ascii="Times New Roman" w:hAnsi="Times New Roman" w:cs="Times New Roman"/>
          <w:szCs w:val="21"/>
        </w:rPr>
      </w:pPr>
    </w:p>
    <w:p w14:paraId="67BA31D5">
      <w:pPr>
        <w:spacing w:line="24" w:lineRule="atLeast"/>
        <w:rPr>
          <w:rFonts w:ascii="Times New Roman" w:hAnsi="Times New Roman" w:cs="Times New Roman"/>
          <w:szCs w:val="21"/>
        </w:rPr>
      </w:pPr>
    </w:p>
    <w:p w14:paraId="03C8298A">
      <w:pPr>
        <w:spacing w:line="24" w:lineRule="atLeast"/>
        <w:rPr>
          <w:rFonts w:hint="eastAsia" w:ascii="Times New Roman" w:hAnsi="Times New Roman" w:cs="Times New Roman"/>
          <w:szCs w:val="21"/>
        </w:rPr>
      </w:pPr>
    </w:p>
    <w:p w14:paraId="15522C2E">
      <w:pPr>
        <w:spacing w:line="24" w:lineRule="atLeast"/>
        <w:rPr>
          <w:rFonts w:hint="eastAsia" w:ascii="Times New Roman" w:hAnsi="Times New Roman" w:cs="Times New Roman"/>
          <w:szCs w:val="21"/>
        </w:rPr>
      </w:pPr>
    </w:p>
    <w:p w14:paraId="6FFC7633">
      <w:pPr>
        <w:spacing w:line="24" w:lineRule="atLeast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drawing>
          <wp:inline distT="0" distB="0" distL="0" distR="0">
            <wp:extent cx="5288280" cy="2221865"/>
            <wp:effectExtent l="0" t="0" r="0" b="3175"/>
            <wp:docPr id="6" name="图片 6" descr="C:/Users/dell/Desktop/Figure S3_01.tifFigure S3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/Users/dell/Desktop/Figure S3_01.tifFigure S3_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679" t="4748" r="2160" b="23450"/>
                    <a:stretch>
                      <a:fillRect/>
                    </a:stretch>
                  </pic:blipFill>
                  <pic:spPr>
                    <a:xfrm>
                      <a:off x="0" y="0"/>
                      <a:ext cx="5288280" cy="222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0E1C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Cs w:val="21"/>
        </w:rPr>
        <w:t xml:space="preserve">Supplementary Fig. 3. Time-dependent effect of </w:t>
      </w:r>
      <w:r>
        <w:rPr>
          <w:rFonts w:hint="eastAsia" w:ascii="Times New Roman" w:hAnsi="Times New Roman" w:cs="Times New Roman"/>
          <w:b/>
          <w:bCs/>
          <w:i/>
          <w:iCs/>
          <w:szCs w:val="21"/>
        </w:rPr>
        <w:t xml:space="preserve">Arp2 and </w:t>
      </w:r>
      <w:r>
        <w:rPr>
          <w:rFonts w:ascii="Times New Roman" w:hAnsi="Times New Roman" w:cs="Times New Roman"/>
          <w:b/>
          <w:bCs/>
          <w:i/>
          <w:iCs/>
          <w:szCs w:val="21"/>
        </w:rPr>
        <w:t>Arp3 knockout on sensitivity to PARP inhibitors in gastric cancer cells.</w:t>
      </w:r>
      <w:r>
        <w:rPr>
          <w:rFonts w:ascii="Times New Roman" w:hAnsi="Times New Roman" w:cs="Times New Roman"/>
          <w:b/>
          <w:bCs/>
          <w:i/>
          <w:iCs/>
          <w:szCs w:val="21"/>
        </w:rPr>
        <w:br w:type="textWrapping"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Cell viability was determined by time-course CCK-8 assay in wild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type (WT), Arp2 knockout (two independent clones: KO1, KO2) and Arp3 knockout (two independent clones: KO1, KO2) gastric cancer cell lines (HGC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27 and AGS) following PARP inhibitor exposure for 0, 24, 48 and 72 h. (A–D) Olaparib treatment: (A) HGC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27 Arp2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knockout cells treated with 162 μM olaparib; (B) AGS Arp2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knockout cells treated with 150 μM olaparib; (C) HGC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27 Arp3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knockout cells treated with 108 μM olaparib; (D) AGS Arp3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knockout cells treated with 150 μM olaparib. (E–H) 20 μM niraparib treatment: (E) HGC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27 Arp2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knockout cells; (F) AGS Arp2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knockout cells; (G) HGC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27 Arp3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knockout cells; (H) AGS Arp3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knockout cells.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bdr w:val="none" w:color="auto" w:sz="0" w:space="0"/>
          <w:lang w:val="en-US" w:eastAsia="zh-CN" w:bidi="ar"/>
        </w:rPr>
        <w:t>Data are presented as mean ± SD. Statistical significance was calculated versus the WT group at the same time point. *P &lt; 0.05, **P &lt; 0.01, ***P &lt; 0.001, ****P &lt; 0.0001.</w:t>
      </w:r>
    </w:p>
    <w:p w14:paraId="0E30B110">
      <w:pPr>
        <w:pStyle w:val="5"/>
        <w:keepNext w:val="0"/>
        <w:keepLines w:val="0"/>
        <w:widowControl/>
        <w:suppressLineNumbers w:val="0"/>
        <w:shd w:val="clear" w:fill="FFFFFF"/>
        <w:spacing w:before="192" w:beforeAutospacing="0" w:after="192" w:afterAutospacing="0"/>
        <w:ind w:left="0" w:right="0" w:firstLine="0"/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1"/>
          <w:szCs w:val="21"/>
        </w:rPr>
      </w:pPr>
    </w:p>
    <w:p w14:paraId="6BFBE1F2">
      <w:pPr>
        <w:spacing w:line="24" w:lineRule="atLeast"/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9AF"/>
    <w:rsid w:val="0002370F"/>
    <w:rsid w:val="001131D4"/>
    <w:rsid w:val="001579AF"/>
    <w:rsid w:val="00164261"/>
    <w:rsid w:val="001D640A"/>
    <w:rsid w:val="001F3F5C"/>
    <w:rsid w:val="00205893"/>
    <w:rsid w:val="002144BB"/>
    <w:rsid w:val="003371D9"/>
    <w:rsid w:val="00446135"/>
    <w:rsid w:val="004C1C3D"/>
    <w:rsid w:val="004E61DF"/>
    <w:rsid w:val="005612C4"/>
    <w:rsid w:val="005617BD"/>
    <w:rsid w:val="00664C56"/>
    <w:rsid w:val="006A34CE"/>
    <w:rsid w:val="006F205B"/>
    <w:rsid w:val="007013AA"/>
    <w:rsid w:val="007C6001"/>
    <w:rsid w:val="0082175D"/>
    <w:rsid w:val="008E357E"/>
    <w:rsid w:val="009F5480"/>
    <w:rsid w:val="00A31107"/>
    <w:rsid w:val="00A84A39"/>
    <w:rsid w:val="00AA54B2"/>
    <w:rsid w:val="00B1453D"/>
    <w:rsid w:val="00CD4F08"/>
    <w:rsid w:val="00D34B97"/>
    <w:rsid w:val="00D35FAB"/>
    <w:rsid w:val="00ED74F6"/>
    <w:rsid w:val="00F224F6"/>
    <w:rsid w:val="00F33516"/>
    <w:rsid w:val="00F53BB6"/>
    <w:rsid w:val="00F844FD"/>
    <w:rsid w:val="08EA7A4F"/>
    <w:rsid w:val="18A26578"/>
    <w:rsid w:val="29DE76E8"/>
    <w:rsid w:val="3EEC014F"/>
    <w:rsid w:val="47F6143B"/>
    <w:rsid w:val="5866106F"/>
    <w:rsid w:val="5C6D5AF4"/>
    <w:rsid w:val="65CB3E5D"/>
    <w:rsid w:val="67296066"/>
    <w:rsid w:val="6912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kern w:val="2"/>
      <w:sz w:val="18"/>
      <w:szCs w:val="18"/>
    </w:rPr>
  </w:style>
  <w:style w:type="character" w:customStyle="1" w:styleId="11">
    <w:name w:val="批注框文本 字符"/>
    <w:basedOn w:val="8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tiff"/><Relationship Id="rId5" Type="http://schemas.openxmlformats.org/officeDocument/2006/relationships/image" Target="media/image2.tiff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508</Words>
  <Characters>3251</Characters>
  <Lines>24</Lines>
  <Paragraphs>6</Paragraphs>
  <TotalTime>24</TotalTime>
  <ScaleCrop>false</ScaleCrop>
  <LinksUpToDate>false</LinksUpToDate>
  <CharactersWithSpaces>3711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2026-01-02T10:39:00Z</dcterms:created>
  <dc:creator>s3147</dc:creator>
  <cp:lastModifiedBy>PXY</cp:lastModifiedBy>
  <dcterms:modified xsi:type="dcterms:W3CDTF">2026-07-06T09:23:24Z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eyJoZGlkIjoiZGNjMmExNGMzZjY4NGJjYzM0NDdkZjIwMjkwMDFjMTYiLCJ1c2VySWQiOiIxMTY3NDgyMzU5In0=</vt:lpwstr>
  </property>
  <property fmtid="{D5CDD505-2E9C-101B-9397-08002B2CF9AE}" pid="3" name="KSOProductBuildVer">
    <vt:lpwstr>2052-12.1.0.26895</vt:lpwstr>
  </property>
  <property fmtid="{D5CDD505-2E9C-101B-9397-08002B2CF9AE}" pid="4" name="ICV">
    <vt:lpwstr>D4B985BECB394728BD48F2602928FF77_13</vt:lpwstr>
  </property>
  <property fmtid="{D5CDD505-2E9C-101B-9397-08002B2CF9AE}" pid="5" name="GrammarlyDocumentId">
    <vt:lpwstr>f13d5246-4f53-4cc9-bb1c-4a5b0e68bee6</vt:lpwstr>
  </property>
</Properties>
</file>